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IT/NR/NES/023/2025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Dr. Cheyanne Harvey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University of The Bahamas                                                          RESPONDENT                     </w:t>
      </w:r>
      <w:r w:rsidDel="00000000" w:rsidR="00000000" w:rsidRPr="00000000">
        <w:rPr>
          <w:sz w:val="28"/>
          <w:szCs w:val="28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Mr. Tyrone Coakley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left" w:leader="none" w:pos="594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Mrs. Tracy Ferguson- Johnson</w:t>
      </w:r>
    </w:p>
    <w:p w:rsidR="00000000" w:rsidDel="00000000" w:rsidP="00000000" w:rsidRDefault="00000000" w:rsidRPr="00000000" w14:paraId="00000025">
      <w:pPr>
        <w:tabs>
          <w:tab w:val="left" w:leader="none" w:pos="594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byy61ctfctd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March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October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shall file its Witness Statements and Bundle of Document on or before November 10th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will be mutual exchange of documents.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is at liberty to call three (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estimate length of trial is one (1) day.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Monday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lYCKjmnpsHIKoXc0kvhLUeEcg==">CgMxLjAyDmguYnl5NjFjdGZjdGRyOAByITFTYVcwZGF6akJyYktncW1NcHRSR2RQZTFGY2NmTy1EWA==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