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4-033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(ACTING COURT)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Adrian Sands                                                                                                APPLICANT</w:t>
      </w:r>
      <w:r w:rsidDel="00000000" w:rsidR="00000000" w:rsidRPr="00000000">
        <w:rPr>
          <w:sz w:val="28"/>
          <w:szCs w:val="28"/>
          <w:rtl w:val="0"/>
        </w:rPr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Double (A) Electric                                                                                      RESPONDENT</w:t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DIRECTIONS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Applicant                                                             Mr. </w:t>
      </w:r>
      <w:r w:rsidDel="00000000" w:rsidR="00000000" w:rsidRPr="00000000">
        <w:rPr>
          <w:sz w:val="28"/>
          <w:szCs w:val="28"/>
          <w:rtl w:val="0"/>
        </w:rPr>
        <w:t xml:space="preserve">Adrian Sands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No Appearance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tb5o8icq2si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940"/>
          <w:tab w:val="left" w:leader="none" w:pos="6030"/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March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Minister referred the Trade Dispute to the Industrial Tribunal; and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0"/>
        </w:tabs>
        <w:spacing w:after="0" w:before="0" w:line="240" w:lineRule="auto"/>
        <w:ind w:left="720" w:right="0" w:firstLine="12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filed in the Industrial Tribunal an Originating Application (Form A) on the </w:t>
      </w:r>
      <w:r w:rsidDel="00000000" w:rsidR="00000000" w:rsidRPr="00000000">
        <w:rPr>
          <w:sz w:val="24"/>
          <w:szCs w:val="24"/>
          <w:rtl w:val="0"/>
        </w:rPr>
        <w:t xml:space="preserve">11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and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June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is at liberty to call four (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4"/>
          <w:szCs w:val="24"/>
          <w:rtl w:val="0"/>
        </w:rPr>
        <w:t xml:space="preserve">estimated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length of trial is one (1) day.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right" w:leader="none" w:pos="9026"/>
        </w:tabs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E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DATED THIS 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A.D.,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Subusola Swain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22DB"/>
    <w:pPr>
      <w:spacing w:line="252" w:lineRule="auto"/>
    </w:pPr>
    <w:rPr>
      <w:lang w:val="en-029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722DB"/>
    <w:pPr>
      <w:ind w:left="720"/>
      <w:contextualSpacing w:val="1"/>
    </w:pPr>
  </w:style>
  <w:style w:type="paragraph" w:styleId="paragraph" w:customStyle="1">
    <w:name w:val="paragraph"/>
    <w:basedOn w:val="Normal"/>
    <w:rsid w:val="000722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722DB"/>
  </w:style>
  <w:style w:type="character" w:styleId="eop" w:customStyle="1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2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22B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06GXcIvVNLoakb97/fkQoqksw==">CgMxLjAyDmgudGI1bzhpY3Eyc2l4OAByITE5TklYWXB3Nk5rbFR4cEdSMUdyZTZ1SHlmTVdLUzA1TQ==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dc:creator>user</dc:creator>
</cp:coreProperties>
</file>