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172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Quintin Johnson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Double S. Stevedoring &amp;Sherman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Johnson/Trucking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</w:t>
      </w:r>
      <w:r w:rsidDel="00000000" w:rsidR="00000000" w:rsidRPr="00000000">
        <w:rPr>
          <w:sz w:val="28"/>
          <w:szCs w:val="28"/>
          <w:rtl w:val="0"/>
        </w:rPr>
        <w:t xml:space="preserve">Alex Morley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Mr.</w:t>
      </w:r>
      <w:r w:rsidDel="00000000" w:rsidR="00000000" w:rsidRPr="00000000">
        <w:rPr>
          <w:sz w:val="28"/>
          <w:szCs w:val="28"/>
          <w:rtl w:val="0"/>
        </w:rPr>
        <w:t xml:space="preserve"> Sherman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shall file its Witness Statements and Bundle of Document on or before the 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August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at liberty to call three (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estimate length of trial is one (1) day.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4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AG50pHczb0XSztohX8m+jX1Mg==">CgMxLjAyDmguYnl5NjFjdGZjdGRyOAByITFDTVhyb1o5bnhvRjBUSzk0UHZXUDYxNVFlM1NHYTQ4OQ==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